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B422" w14:textId="77777777" w:rsidR="00D402EB" w:rsidRPr="000D0728" w:rsidRDefault="00D402EB" w:rsidP="00D402EB">
      <w:pPr>
        <w:jc w:val="center"/>
        <w:rPr>
          <w:b/>
          <w:smallCaps/>
          <w:szCs w:val="24"/>
        </w:rPr>
      </w:pPr>
      <w:r w:rsidRPr="000D0728">
        <w:rPr>
          <w:b/>
          <w:smallCaps/>
          <w:szCs w:val="24"/>
        </w:rPr>
        <w:t>Farmington Zoning Board of Appeals Resolution</w:t>
      </w:r>
    </w:p>
    <w:p w14:paraId="7CE260AD" w14:textId="77777777" w:rsidR="00D402EB" w:rsidRDefault="00D402EB" w:rsidP="00D402EB">
      <w:pPr>
        <w:jc w:val="center"/>
      </w:pPr>
      <w:r>
        <w:rPr>
          <w:b/>
          <w:smallCaps/>
          <w:szCs w:val="24"/>
        </w:rPr>
        <w:t>SEQR Resolution—</w:t>
      </w:r>
      <w:r w:rsidRPr="000D0728">
        <w:rPr>
          <w:b/>
          <w:smallCaps/>
          <w:szCs w:val="24"/>
        </w:rPr>
        <w:t>Type II Action</w:t>
      </w:r>
    </w:p>
    <w:p w14:paraId="13A3D55F" w14:textId="77777777" w:rsidR="00966B4F" w:rsidRDefault="00966B4F" w:rsidP="00D402EB">
      <w:pPr>
        <w:rPr>
          <w:b/>
          <w:szCs w:val="24"/>
        </w:rPr>
      </w:pPr>
    </w:p>
    <w:p w14:paraId="0F3D4F31" w14:textId="36C72A1C" w:rsidR="00D402EB" w:rsidRDefault="005D1A52" w:rsidP="00D402EB">
      <w:pPr>
        <w:rPr>
          <w:b/>
          <w:szCs w:val="24"/>
        </w:rPr>
      </w:pPr>
      <w:r>
        <w:rPr>
          <w:b/>
          <w:szCs w:val="24"/>
        </w:rPr>
        <w:t>ZB</w:t>
      </w:r>
      <w:r w:rsidR="006B614B">
        <w:rPr>
          <w:b/>
          <w:szCs w:val="24"/>
        </w:rPr>
        <w:t xml:space="preserve"> #</w:t>
      </w:r>
      <w:r w:rsidR="00265208">
        <w:rPr>
          <w:b/>
          <w:szCs w:val="24"/>
        </w:rPr>
        <w:t>2</w:t>
      </w:r>
      <w:r w:rsidR="00D40ED9">
        <w:rPr>
          <w:b/>
          <w:szCs w:val="24"/>
        </w:rPr>
        <w:t>0</w:t>
      </w:r>
      <w:r w:rsidR="007664E0">
        <w:rPr>
          <w:b/>
          <w:szCs w:val="24"/>
        </w:rPr>
        <w:t>2</w:t>
      </w:r>
      <w:r w:rsidR="00265208">
        <w:rPr>
          <w:b/>
          <w:szCs w:val="24"/>
        </w:rPr>
        <w:t>5</w:t>
      </w:r>
      <w:r w:rsidR="00E32DE6">
        <w:rPr>
          <w:b/>
          <w:szCs w:val="24"/>
        </w:rPr>
        <w:t>-</w:t>
      </w:r>
      <w:r w:rsidR="00265208">
        <w:rPr>
          <w:b/>
          <w:szCs w:val="24"/>
        </w:rPr>
        <w:t>0</w:t>
      </w:r>
      <w:r w:rsidR="00B15E2C">
        <w:rPr>
          <w:b/>
          <w:szCs w:val="24"/>
        </w:rPr>
        <w:t>6</w:t>
      </w:r>
      <w:r w:rsidR="00265208">
        <w:rPr>
          <w:b/>
          <w:szCs w:val="24"/>
        </w:rPr>
        <w:t>0</w:t>
      </w:r>
      <w:r w:rsidR="00B15E2C">
        <w:rPr>
          <w:b/>
          <w:szCs w:val="24"/>
        </w:rPr>
        <w:t>1</w:t>
      </w:r>
    </w:p>
    <w:p w14:paraId="3E13CEB0" w14:textId="77777777" w:rsidR="00C534FE" w:rsidRDefault="00C534FE" w:rsidP="00D402EB">
      <w:pPr>
        <w:rPr>
          <w:b/>
          <w:szCs w:val="24"/>
        </w:rPr>
      </w:pPr>
    </w:p>
    <w:p w14:paraId="18ECFF25" w14:textId="5F804364" w:rsidR="001615AD" w:rsidRDefault="00D402EB" w:rsidP="00156CD6">
      <w:pPr>
        <w:rPr>
          <w:b/>
          <w:szCs w:val="24"/>
        </w:rPr>
      </w:pPr>
      <w:r w:rsidRPr="000D0728">
        <w:rPr>
          <w:b/>
          <w:smallCaps/>
          <w:szCs w:val="24"/>
        </w:rPr>
        <w:t>Applicant:</w:t>
      </w:r>
      <w:r>
        <w:rPr>
          <w:b/>
          <w:szCs w:val="24"/>
        </w:rPr>
        <w:tab/>
      </w:r>
      <w:r w:rsidR="005D1A52">
        <w:rPr>
          <w:b/>
          <w:szCs w:val="24"/>
        </w:rPr>
        <w:tab/>
      </w:r>
      <w:r w:rsidR="009F3972">
        <w:rPr>
          <w:b/>
          <w:szCs w:val="24"/>
        </w:rPr>
        <w:t xml:space="preserve">Frederick </w:t>
      </w:r>
      <w:proofErr w:type="spellStart"/>
      <w:r w:rsidR="009F3972">
        <w:rPr>
          <w:b/>
          <w:szCs w:val="24"/>
        </w:rPr>
        <w:t>Laudise</w:t>
      </w:r>
      <w:proofErr w:type="spellEnd"/>
      <w:r w:rsidR="009F3972">
        <w:rPr>
          <w:b/>
          <w:szCs w:val="24"/>
        </w:rPr>
        <w:t>, 6184 Fawn Meadow Street,</w:t>
      </w:r>
      <w:r w:rsidR="003F7381">
        <w:rPr>
          <w:b/>
          <w:szCs w:val="24"/>
        </w:rPr>
        <w:t xml:space="preserve"> </w:t>
      </w:r>
      <w:r w:rsidR="00E32DE6">
        <w:rPr>
          <w:b/>
          <w:szCs w:val="24"/>
        </w:rPr>
        <w:t>Farmington, N.Y. 14425</w:t>
      </w:r>
    </w:p>
    <w:p w14:paraId="5704F3AD" w14:textId="77777777" w:rsidR="00D402EB" w:rsidRPr="000D0728" w:rsidRDefault="00D402EB" w:rsidP="00D402EB">
      <w:pPr>
        <w:ind w:left="1440" w:firstLine="720"/>
        <w:rPr>
          <w:b/>
          <w:szCs w:val="24"/>
        </w:rPr>
      </w:pPr>
    </w:p>
    <w:p w14:paraId="74050764" w14:textId="0AC8EA1E" w:rsidR="006F0C7A" w:rsidRDefault="00D402EB" w:rsidP="00C534FE">
      <w:pPr>
        <w:tabs>
          <w:tab w:val="left" w:pos="1170"/>
        </w:tabs>
        <w:ind w:left="2160" w:hanging="2160"/>
        <w:rPr>
          <w:b/>
          <w:szCs w:val="24"/>
        </w:rPr>
      </w:pPr>
      <w:r w:rsidRPr="000D0728">
        <w:rPr>
          <w:b/>
          <w:smallCaps/>
          <w:szCs w:val="24"/>
        </w:rPr>
        <w:t>Action:</w:t>
      </w:r>
      <w:r w:rsidR="00C534FE">
        <w:rPr>
          <w:b/>
          <w:szCs w:val="24"/>
        </w:rPr>
        <w:tab/>
      </w:r>
      <w:r w:rsidR="00C534FE">
        <w:rPr>
          <w:b/>
          <w:szCs w:val="24"/>
        </w:rPr>
        <w:tab/>
      </w:r>
      <w:r w:rsidR="001615AD">
        <w:rPr>
          <w:b/>
          <w:szCs w:val="24"/>
        </w:rPr>
        <w:t>Area Variance</w:t>
      </w:r>
      <w:r w:rsidR="00CB68A5">
        <w:rPr>
          <w:b/>
          <w:szCs w:val="24"/>
        </w:rPr>
        <w:t xml:space="preserve"> -</w:t>
      </w:r>
      <w:r w:rsidR="001615AD">
        <w:rPr>
          <w:b/>
          <w:szCs w:val="24"/>
        </w:rPr>
        <w:t xml:space="preserve"> </w:t>
      </w:r>
      <w:r w:rsidR="00D40ED9">
        <w:rPr>
          <w:rFonts w:ascii="TimesNewRomanPS-BoldMT" w:hAnsi="TimesNewRomanPS-BoldMT" w:cs="TimesNewRomanPS-BoldMT"/>
          <w:b/>
          <w:bCs/>
          <w:szCs w:val="24"/>
        </w:rPr>
        <w:t xml:space="preserve">Chapter 165, </w:t>
      </w:r>
      <w:r w:rsidR="00AC1667">
        <w:rPr>
          <w:rFonts w:ascii="TimesNewRomanPS-BoldMT" w:hAnsi="TimesNewRomanPS-BoldMT" w:cs="TimesNewRomanPS-BoldMT"/>
          <w:b/>
          <w:bCs/>
          <w:szCs w:val="24"/>
        </w:rPr>
        <w:t>S</w:t>
      </w:r>
      <w:r w:rsidR="00880590">
        <w:rPr>
          <w:rFonts w:ascii="TimesNewRomanPS-BoldMT" w:hAnsi="TimesNewRomanPS-BoldMT" w:cs="TimesNewRomanPS-BoldMT"/>
          <w:b/>
          <w:bCs/>
          <w:szCs w:val="24"/>
        </w:rPr>
        <w:t>chedule 1</w:t>
      </w:r>
      <w:r w:rsidR="0061575A">
        <w:rPr>
          <w:rFonts w:ascii="TimesNewRomanPS-BoldMT" w:hAnsi="TimesNewRomanPS-BoldMT" w:cs="TimesNewRomanPS-BoldMT"/>
          <w:b/>
          <w:bCs/>
          <w:szCs w:val="24"/>
        </w:rPr>
        <w:t>,</w:t>
      </w:r>
      <w:r w:rsidR="002B30D7"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 w:rsidR="001A7112">
        <w:rPr>
          <w:b/>
          <w:szCs w:val="24"/>
        </w:rPr>
        <w:t xml:space="preserve">to allow an existing canopy over </w:t>
      </w:r>
      <w:r w:rsidR="009B20AA">
        <w:rPr>
          <w:b/>
          <w:szCs w:val="24"/>
        </w:rPr>
        <w:t>main</w:t>
      </w:r>
      <w:r w:rsidR="001A7112">
        <w:rPr>
          <w:b/>
          <w:szCs w:val="24"/>
        </w:rPr>
        <w:t xml:space="preserve"> entrance</w:t>
      </w:r>
      <w:r w:rsidR="000E7CEB">
        <w:rPr>
          <w:b/>
          <w:szCs w:val="24"/>
        </w:rPr>
        <w:t xml:space="preserve"> to the existing </w:t>
      </w:r>
      <w:r w:rsidR="009B20AA">
        <w:rPr>
          <w:b/>
          <w:szCs w:val="24"/>
        </w:rPr>
        <w:t xml:space="preserve">single-family </w:t>
      </w:r>
      <w:r w:rsidR="000E7CEB">
        <w:rPr>
          <w:b/>
          <w:szCs w:val="24"/>
        </w:rPr>
        <w:t xml:space="preserve">dwelling located at the above address, which encroaches </w:t>
      </w:r>
      <w:r w:rsidR="00AB1B33">
        <w:rPr>
          <w:b/>
          <w:szCs w:val="24"/>
        </w:rPr>
        <w:t>into the required fifty (50) foot front set back by 6 feet</w:t>
      </w:r>
      <w:r w:rsidR="009B20AA">
        <w:rPr>
          <w:b/>
          <w:szCs w:val="24"/>
        </w:rPr>
        <w:t xml:space="preserve">. </w:t>
      </w:r>
    </w:p>
    <w:p w14:paraId="7FF97578" w14:textId="77777777" w:rsidR="005E1DA2" w:rsidRDefault="005E1DA2"/>
    <w:p w14:paraId="201C7D66" w14:textId="29816A44" w:rsidR="005E1DA2" w:rsidRDefault="005E1DA2" w:rsidP="00D402EB">
      <w:pPr>
        <w:jc w:val="both"/>
      </w:pPr>
      <w:r w:rsidRPr="00D402EB">
        <w:rPr>
          <w:b/>
        </w:rPr>
        <w:t>WHEREAS</w:t>
      </w:r>
      <w:r>
        <w:t xml:space="preserve"> the Town of Farmington Zoning Board of Appeals (hereinafter referred to as the Board) has </w:t>
      </w:r>
      <w:r w:rsidR="0025559C">
        <w:t>review</w:t>
      </w:r>
      <w:r w:rsidR="00604A17">
        <w:t>ed</w:t>
      </w:r>
      <w:r w:rsidR="0025559C">
        <w:t xml:space="preserve"> the criteria, under</w:t>
      </w:r>
      <w:r w:rsidR="00521F15">
        <w:t xml:space="preserve"> 6NYCRR,</w:t>
      </w:r>
      <w:r w:rsidR="0025559C">
        <w:t xml:space="preserve"> </w:t>
      </w:r>
      <w:r w:rsidR="004D3AEE">
        <w:t>Part</w:t>
      </w:r>
      <w:r w:rsidR="00D402EB">
        <w:t xml:space="preserve"> 617.5 (c</w:t>
      </w:r>
      <w:r w:rsidR="0025559C">
        <w:t xml:space="preserve">) of the State Environmental Quality Review (SEQR) Regulations, for </w:t>
      </w:r>
      <w:r>
        <w:t>determin</w:t>
      </w:r>
      <w:r w:rsidR="0025559C">
        <w:t xml:space="preserve">ing </w:t>
      </w:r>
      <w:r>
        <w:t>the</w:t>
      </w:r>
      <w:r w:rsidR="0025559C">
        <w:t xml:space="preserve"> Classification associated with the</w:t>
      </w:r>
      <w:r>
        <w:t xml:space="preserve"> above referenced Ac</w:t>
      </w:r>
      <w:r w:rsidR="00D402EB">
        <w:softHyphen/>
      </w:r>
      <w:r>
        <w:t>tion; and,</w:t>
      </w:r>
    </w:p>
    <w:p w14:paraId="00036ED3" w14:textId="77777777" w:rsidR="00EC3251" w:rsidRDefault="00EC3251" w:rsidP="00D402EB">
      <w:pPr>
        <w:jc w:val="both"/>
      </w:pPr>
    </w:p>
    <w:p w14:paraId="1EBF540B" w14:textId="64D68BA4" w:rsidR="00EC3251" w:rsidRPr="00EC3251" w:rsidRDefault="00EC3251" w:rsidP="00D402EB">
      <w:pPr>
        <w:jc w:val="both"/>
      </w:pPr>
      <w:r>
        <w:rPr>
          <w:b/>
          <w:bCs/>
        </w:rPr>
        <w:t xml:space="preserve">WHEREAS </w:t>
      </w:r>
      <w:r>
        <w:t>the Board finds that the granting of an area variance is classified as a Type II Action under</w:t>
      </w:r>
      <w:r w:rsidR="00372B26">
        <w:t xml:space="preserve"> 6 NYCRR,</w:t>
      </w:r>
      <w:r>
        <w:t xml:space="preserve"> Part</w:t>
      </w:r>
      <w:r w:rsidR="008D44DE">
        <w:t>s</w:t>
      </w:r>
      <w:r>
        <w:t xml:space="preserve"> 617.5 (c) (16) </w:t>
      </w:r>
      <w:r w:rsidR="00BC510D">
        <w:t xml:space="preserve">and (17) </w:t>
      </w:r>
      <w:r>
        <w:t xml:space="preserve">of </w:t>
      </w:r>
      <w:r w:rsidR="00AE682E">
        <w:t>a</w:t>
      </w:r>
      <w:r>
        <w:t>rticle 8 of the New York State Environmental Con</w:t>
      </w:r>
      <w:r w:rsidR="00E32DE6">
        <w:softHyphen/>
      </w:r>
      <w:r>
        <w:t>servation Law.</w:t>
      </w:r>
    </w:p>
    <w:p w14:paraId="2D07F71A" w14:textId="77777777" w:rsidR="00373977" w:rsidRPr="00251A1A" w:rsidRDefault="00373977" w:rsidP="00D402EB">
      <w:pPr>
        <w:jc w:val="both"/>
      </w:pPr>
    </w:p>
    <w:p w14:paraId="259F5E3A" w14:textId="2089AC40" w:rsidR="0025559C" w:rsidRDefault="0025559C" w:rsidP="00D402EB">
      <w:pPr>
        <w:jc w:val="both"/>
      </w:pPr>
      <w:r w:rsidRPr="00D402EB">
        <w:rPr>
          <w:b/>
        </w:rPr>
        <w:t>NOW, THEREFORE, BE IT RESOLVED THAT</w:t>
      </w:r>
      <w:r>
        <w:t xml:space="preserve"> the Board </w:t>
      </w:r>
      <w:r w:rsidR="00EC3251">
        <w:t xml:space="preserve">does hereby classify </w:t>
      </w:r>
      <w:r>
        <w:t>the</w:t>
      </w:r>
      <w:r w:rsidR="00EC3251">
        <w:t xml:space="preserve"> pro</w:t>
      </w:r>
      <w:r w:rsidR="00BA2758">
        <w:softHyphen/>
      </w:r>
      <w:r w:rsidR="00EC3251">
        <w:t>posed</w:t>
      </w:r>
      <w:r>
        <w:t xml:space="preserve"> Action </w:t>
      </w:r>
      <w:r w:rsidR="00EC3251">
        <w:t>as</w:t>
      </w:r>
      <w:r>
        <w:t xml:space="preserve"> a Type </w:t>
      </w:r>
      <w:r w:rsidR="00D402EB">
        <w:t>II Action under Section</w:t>
      </w:r>
      <w:r w:rsidR="008D44DE">
        <w:t xml:space="preserve"> 6 NYCRR, Parts</w:t>
      </w:r>
      <w:r w:rsidR="00D402EB">
        <w:t xml:space="preserve"> 617.5 (c</w:t>
      </w:r>
      <w:r>
        <w:t>)</w:t>
      </w:r>
      <w:r w:rsidR="00013041">
        <w:t xml:space="preserve"> (16)</w:t>
      </w:r>
      <w:r w:rsidR="008D44DE">
        <w:t xml:space="preserve"> and (17)</w:t>
      </w:r>
      <w:r>
        <w:t xml:space="preserve"> of the SEQR Regulations.</w:t>
      </w:r>
    </w:p>
    <w:p w14:paraId="6DEE949F" w14:textId="77777777" w:rsidR="005E1DA2" w:rsidRDefault="005E1DA2" w:rsidP="00D402EB">
      <w:pPr>
        <w:jc w:val="both"/>
      </w:pPr>
    </w:p>
    <w:p w14:paraId="74C88D22" w14:textId="77777777" w:rsidR="005E1DA2" w:rsidRDefault="004D3AEE" w:rsidP="00D402EB">
      <w:pPr>
        <w:jc w:val="both"/>
      </w:pPr>
      <w:r w:rsidRPr="00D402EB">
        <w:rPr>
          <w:b/>
        </w:rPr>
        <w:t>BE IT FURTHER RESOLVED THAT</w:t>
      </w:r>
      <w:r w:rsidR="005E1DA2">
        <w:t xml:space="preserve"> Type II Actions are not subject to further review under Part 617.</w:t>
      </w:r>
    </w:p>
    <w:p w14:paraId="4CDB5334" w14:textId="77777777" w:rsidR="005E1DA2" w:rsidRDefault="005E1DA2" w:rsidP="00D402EB">
      <w:pPr>
        <w:jc w:val="both"/>
      </w:pPr>
    </w:p>
    <w:p w14:paraId="1513C37E" w14:textId="77777777" w:rsidR="005E1DA2" w:rsidRDefault="005E1DA2" w:rsidP="00D402EB">
      <w:pPr>
        <w:jc w:val="both"/>
      </w:pPr>
      <w:r w:rsidRPr="00D402EB">
        <w:rPr>
          <w:b/>
        </w:rPr>
        <w:t>BE IT</w:t>
      </w:r>
      <w:r w:rsidR="00EC3251">
        <w:rPr>
          <w:b/>
        </w:rPr>
        <w:t xml:space="preserve"> FINALLY</w:t>
      </w:r>
      <w:r w:rsidRPr="00D402EB">
        <w:rPr>
          <w:b/>
        </w:rPr>
        <w:t xml:space="preserve"> RESOLVED THAT</w:t>
      </w:r>
      <w:r>
        <w:t xml:space="preserve"> the Board in making this Classification has satisfied the procedural requirements under SEQR and directs this Resolution to be placed in the</w:t>
      </w:r>
      <w:r w:rsidR="00373977">
        <w:t xml:space="preserve"> Town</w:t>
      </w:r>
      <w:r>
        <w:t xml:space="preserve"> file </w:t>
      </w:r>
      <w:r w:rsidR="00373977">
        <w:t>up</w:t>
      </w:r>
      <w:r>
        <w:t>on th</w:t>
      </w:r>
      <w:r w:rsidR="00373977">
        <w:t>i</w:t>
      </w:r>
      <w:r>
        <w:t>s Action.</w:t>
      </w:r>
    </w:p>
    <w:p w14:paraId="323F64D5" w14:textId="77777777" w:rsidR="005E1DA2" w:rsidRDefault="005E1DA2" w:rsidP="00D402EB">
      <w:pPr>
        <w:jc w:val="both"/>
      </w:pPr>
    </w:p>
    <w:p w14:paraId="450C11BA" w14:textId="77B98D89" w:rsidR="00D402EB" w:rsidRDefault="00C534FE" w:rsidP="00D402EB">
      <w:pPr>
        <w:jc w:val="both"/>
        <w:rPr>
          <w:szCs w:val="24"/>
        </w:rPr>
      </w:pPr>
      <w:r>
        <w:rPr>
          <w:szCs w:val="24"/>
        </w:rPr>
        <w:t>The above r</w:t>
      </w:r>
      <w:r w:rsidR="00D402EB" w:rsidRPr="007E5B74">
        <w:rPr>
          <w:szCs w:val="24"/>
        </w:rPr>
        <w:t>esolution was offere</w:t>
      </w:r>
      <w:r w:rsidR="0032082E">
        <w:rPr>
          <w:szCs w:val="24"/>
        </w:rPr>
        <w:t>d by</w:t>
      </w:r>
      <w:r w:rsidR="00E32DE6">
        <w:rPr>
          <w:szCs w:val="24"/>
        </w:rPr>
        <w:t xml:space="preserve"> </w:t>
      </w:r>
      <w:r w:rsidR="00E32DE6" w:rsidRPr="00D40ED9">
        <w:rPr>
          <w:color w:val="FF0000"/>
          <w:szCs w:val="24"/>
        </w:rPr>
        <w:t>NAME</w:t>
      </w:r>
      <w:r w:rsidR="00EE319B">
        <w:rPr>
          <w:szCs w:val="24"/>
        </w:rPr>
        <w:t xml:space="preserve"> </w:t>
      </w:r>
      <w:r w:rsidR="00D402EB" w:rsidRPr="007E5B74">
        <w:rPr>
          <w:szCs w:val="24"/>
        </w:rPr>
        <w:t>and</w:t>
      </w:r>
      <w:r w:rsidR="0032082E">
        <w:rPr>
          <w:szCs w:val="24"/>
        </w:rPr>
        <w:t xml:space="preserve"> seconded by </w:t>
      </w:r>
      <w:r w:rsidR="00E32DE6" w:rsidRPr="00D40ED9">
        <w:rPr>
          <w:color w:val="FF0000"/>
          <w:szCs w:val="24"/>
        </w:rPr>
        <w:t>NAME</w:t>
      </w:r>
      <w:r w:rsidR="00EE319B">
        <w:rPr>
          <w:szCs w:val="24"/>
        </w:rPr>
        <w:t xml:space="preserve"> </w:t>
      </w:r>
      <w:r w:rsidR="00D402EB" w:rsidRPr="007E5B74">
        <w:rPr>
          <w:szCs w:val="24"/>
        </w:rPr>
        <w:t>at a reg</w:t>
      </w:r>
      <w:r w:rsidR="006D26D1">
        <w:rPr>
          <w:szCs w:val="24"/>
        </w:rPr>
        <w:softHyphen/>
      </w:r>
      <w:r w:rsidR="00D402EB" w:rsidRPr="007E5B74">
        <w:rPr>
          <w:szCs w:val="24"/>
        </w:rPr>
        <w:t>ularly scheduled meeting of the Zoning Board of Appeals held</w:t>
      </w:r>
      <w:r w:rsidR="00490420">
        <w:rPr>
          <w:szCs w:val="24"/>
        </w:rPr>
        <w:t xml:space="preserve"> on </w:t>
      </w:r>
      <w:r w:rsidR="00303A59">
        <w:rPr>
          <w:szCs w:val="24"/>
        </w:rPr>
        <w:t>Mon</w:t>
      </w:r>
      <w:r w:rsidR="00156CD6">
        <w:rPr>
          <w:szCs w:val="24"/>
        </w:rPr>
        <w:t>day</w:t>
      </w:r>
      <w:r w:rsidR="00D40ED9">
        <w:rPr>
          <w:szCs w:val="24"/>
        </w:rPr>
        <w:t xml:space="preserve"> </w:t>
      </w:r>
      <w:bookmarkStart w:id="0" w:name="_Hlk102571842"/>
      <w:r w:rsidR="00D72F58">
        <w:rPr>
          <w:szCs w:val="24"/>
        </w:rPr>
        <w:t>June 2</w:t>
      </w:r>
      <w:r w:rsidR="00265208">
        <w:rPr>
          <w:szCs w:val="24"/>
        </w:rPr>
        <w:t>3</w:t>
      </w:r>
      <w:r w:rsidR="00263D91">
        <w:rPr>
          <w:szCs w:val="24"/>
        </w:rPr>
        <w:t>, 202</w:t>
      </w:r>
      <w:r w:rsidR="00265208">
        <w:rPr>
          <w:szCs w:val="24"/>
        </w:rPr>
        <w:t>5</w:t>
      </w:r>
      <w:bookmarkEnd w:id="0"/>
      <w:r>
        <w:rPr>
          <w:szCs w:val="24"/>
        </w:rPr>
        <w:t>.</w:t>
      </w:r>
      <w:r w:rsidR="00C86E31">
        <w:rPr>
          <w:szCs w:val="24"/>
        </w:rPr>
        <w:t xml:space="preserve"> </w:t>
      </w:r>
      <w:r w:rsidR="00265208">
        <w:rPr>
          <w:szCs w:val="24"/>
        </w:rPr>
        <w:t xml:space="preserve"> After Board</w:t>
      </w:r>
      <w:r w:rsidR="00D402EB" w:rsidRPr="007E5B74">
        <w:rPr>
          <w:szCs w:val="24"/>
        </w:rPr>
        <w:t xml:space="preserve"> </w:t>
      </w:r>
      <w:r w:rsidR="00265208">
        <w:rPr>
          <w:szCs w:val="24"/>
        </w:rPr>
        <w:t xml:space="preserve">members’ </w:t>
      </w:r>
      <w:r w:rsidR="00D402EB" w:rsidRPr="007E5B74">
        <w:rPr>
          <w:szCs w:val="24"/>
        </w:rPr>
        <w:t>discussion, the following roll call vote was recorded:</w:t>
      </w:r>
    </w:p>
    <w:p w14:paraId="7B10D7F2" w14:textId="77777777" w:rsidR="00D402EB" w:rsidRDefault="00D402EB" w:rsidP="00D402EB">
      <w:pPr>
        <w:jc w:val="both"/>
        <w:rPr>
          <w:szCs w:val="24"/>
        </w:rPr>
      </w:pPr>
    </w:p>
    <w:p w14:paraId="44AE5245" w14:textId="39CBB2B0" w:rsidR="00263D91" w:rsidRPr="00263D91" w:rsidRDefault="00263D91" w:rsidP="00263D91">
      <w:pPr>
        <w:overflowPunct/>
        <w:adjustRightInd/>
        <w:jc w:val="both"/>
        <w:rPr>
          <w:bCs/>
          <w:szCs w:val="24"/>
        </w:rPr>
      </w:pPr>
      <w:r w:rsidRPr="00263D91">
        <w:rPr>
          <w:bCs/>
          <w:szCs w:val="24"/>
        </w:rPr>
        <w:t>Kelly Cochran</w:t>
      </w:r>
      <w:r w:rsidR="00D72F58">
        <w:rPr>
          <w:bCs/>
          <w:szCs w:val="24"/>
        </w:rPr>
        <w:t>e</w:t>
      </w:r>
      <w:r w:rsidRPr="00263D91">
        <w:rPr>
          <w:bCs/>
          <w:szCs w:val="24"/>
        </w:rPr>
        <w:tab/>
      </w:r>
      <w:r w:rsidRPr="00263D91">
        <w:rPr>
          <w:bCs/>
          <w:szCs w:val="24"/>
        </w:rPr>
        <w:tab/>
        <w:t>Aye or Nay</w:t>
      </w:r>
    </w:p>
    <w:p w14:paraId="6E96F8E2" w14:textId="77777777" w:rsidR="00263D91" w:rsidRPr="00263D91" w:rsidRDefault="00263D91" w:rsidP="00263D91">
      <w:pPr>
        <w:overflowPunct/>
        <w:adjustRightInd/>
        <w:jc w:val="both"/>
        <w:rPr>
          <w:bCs/>
          <w:szCs w:val="24"/>
        </w:rPr>
      </w:pPr>
      <w:r w:rsidRPr="00263D91">
        <w:rPr>
          <w:bCs/>
          <w:szCs w:val="24"/>
        </w:rPr>
        <w:t>Jody Binnix</w:t>
      </w:r>
      <w:r w:rsidRPr="00263D91">
        <w:rPr>
          <w:bCs/>
          <w:szCs w:val="24"/>
        </w:rPr>
        <w:tab/>
      </w:r>
      <w:r w:rsidRPr="00263D91">
        <w:rPr>
          <w:bCs/>
          <w:szCs w:val="24"/>
        </w:rPr>
        <w:tab/>
      </w:r>
      <w:r w:rsidRPr="00263D91">
        <w:rPr>
          <w:bCs/>
          <w:szCs w:val="24"/>
        </w:rPr>
        <w:tab/>
        <w:t>Aye or Nay</w:t>
      </w:r>
    </w:p>
    <w:p w14:paraId="30D6E273" w14:textId="389346B8" w:rsidR="00263D91" w:rsidRDefault="00265208" w:rsidP="00263D91">
      <w:pPr>
        <w:overflowPunct/>
        <w:adjustRightInd/>
        <w:jc w:val="both"/>
        <w:rPr>
          <w:bCs/>
          <w:szCs w:val="24"/>
        </w:rPr>
      </w:pPr>
      <w:r>
        <w:rPr>
          <w:bCs/>
          <w:szCs w:val="24"/>
        </w:rPr>
        <w:t>Ralph Bocchino</w:t>
      </w:r>
      <w:r w:rsidR="00263D91" w:rsidRPr="00263D91">
        <w:rPr>
          <w:bCs/>
          <w:szCs w:val="24"/>
        </w:rPr>
        <w:tab/>
      </w:r>
      <w:r w:rsidR="00263D91" w:rsidRPr="00263D91">
        <w:rPr>
          <w:bCs/>
          <w:szCs w:val="24"/>
        </w:rPr>
        <w:tab/>
        <w:t>Aye or Nay</w:t>
      </w:r>
    </w:p>
    <w:p w14:paraId="4D5C7CF5" w14:textId="672083F4" w:rsidR="00D956D4" w:rsidRPr="00263D91" w:rsidRDefault="00D956D4" w:rsidP="00263D91">
      <w:pPr>
        <w:overflowPunct/>
        <w:adjustRightInd/>
        <w:jc w:val="both"/>
        <w:rPr>
          <w:bCs/>
          <w:szCs w:val="24"/>
        </w:rPr>
      </w:pPr>
      <w:r>
        <w:rPr>
          <w:bCs/>
          <w:szCs w:val="24"/>
        </w:rPr>
        <w:t>Tom Lay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Aye or Nay</w:t>
      </w:r>
    </w:p>
    <w:p w14:paraId="3EBA226E" w14:textId="77777777" w:rsidR="00263D91" w:rsidRPr="00263D91" w:rsidRDefault="00263D91" w:rsidP="00263D91">
      <w:pPr>
        <w:overflowPunct/>
        <w:adjustRightInd/>
        <w:jc w:val="both"/>
        <w:rPr>
          <w:bCs/>
          <w:szCs w:val="24"/>
        </w:rPr>
      </w:pPr>
      <w:r w:rsidRPr="00263D91">
        <w:rPr>
          <w:bCs/>
          <w:szCs w:val="24"/>
        </w:rPr>
        <w:t xml:space="preserve">Thomas </w:t>
      </w:r>
      <w:proofErr w:type="spellStart"/>
      <w:r w:rsidRPr="00263D91">
        <w:rPr>
          <w:bCs/>
          <w:szCs w:val="24"/>
        </w:rPr>
        <w:t>Yourch</w:t>
      </w:r>
      <w:proofErr w:type="spellEnd"/>
      <w:r w:rsidRPr="00263D91">
        <w:rPr>
          <w:bCs/>
          <w:szCs w:val="24"/>
        </w:rPr>
        <w:tab/>
      </w:r>
      <w:r w:rsidRPr="00263D91">
        <w:rPr>
          <w:bCs/>
          <w:szCs w:val="24"/>
        </w:rPr>
        <w:tab/>
        <w:t>Aye or Nay</w:t>
      </w:r>
    </w:p>
    <w:p w14:paraId="2E78B519" w14:textId="77777777" w:rsidR="00F771C7" w:rsidRDefault="00F771C7" w:rsidP="00D402EB">
      <w:pPr>
        <w:jc w:val="both"/>
        <w:rPr>
          <w:szCs w:val="24"/>
        </w:rPr>
      </w:pPr>
    </w:p>
    <w:p w14:paraId="67C83F78" w14:textId="330421C9" w:rsidR="00F771C7" w:rsidRDefault="00F771C7" w:rsidP="00D402EB">
      <w:pPr>
        <w:jc w:val="both"/>
        <w:rPr>
          <w:szCs w:val="24"/>
        </w:rPr>
      </w:pPr>
      <w:r>
        <w:rPr>
          <w:szCs w:val="24"/>
        </w:rPr>
        <w:t xml:space="preserve">Motion </w:t>
      </w:r>
      <w:r w:rsidR="00E32DE6">
        <w:rPr>
          <w:szCs w:val="24"/>
        </w:rPr>
        <w:t>result</w:t>
      </w:r>
      <w:r w:rsidR="00265208">
        <w:rPr>
          <w:szCs w:val="24"/>
        </w:rPr>
        <w:t>:</w:t>
      </w:r>
    </w:p>
    <w:p w14:paraId="0837D210" w14:textId="77777777" w:rsidR="00BA2758" w:rsidRDefault="00BA2758" w:rsidP="00D402EB">
      <w:pPr>
        <w:jc w:val="both"/>
        <w:rPr>
          <w:szCs w:val="24"/>
        </w:rPr>
      </w:pPr>
    </w:p>
    <w:p w14:paraId="60825FC4" w14:textId="77777777" w:rsidR="00D402EB" w:rsidRDefault="00D402EB" w:rsidP="00D402EB">
      <w:pPr>
        <w:jc w:val="both"/>
      </w:pPr>
    </w:p>
    <w:p w14:paraId="04A0C5A3" w14:textId="0FED9BDF" w:rsidR="00D402EB" w:rsidRDefault="00D402EB" w:rsidP="00D402EB">
      <w:pPr>
        <w:jc w:val="both"/>
      </w:pPr>
      <w:r>
        <w:t xml:space="preserve">I, </w:t>
      </w:r>
      <w:r w:rsidR="00265208">
        <w:t>Carol Marvel</w:t>
      </w:r>
      <w:r>
        <w:t xml:space="preserve">, Clerk </w:t>
      </w:r>
      <w:proofErr w:type="spellStart"/>
      <w:r w:rsidR="00263D91">
        <w:rPr>
          <w:i/>
          <w:iCs/>
        </w:rPr>
        <w:t>ProTem</w:t>
      </w:r>
      <w:proofErr w:type="spellEnd"/>
      <w:r w:rsidR="00263D91">
        <w:t xml:space="preserve"> </w:t>
      </w:r>
      <w:r>
        <w:t>of the Board, do hereby attes</w:t>
      </w:r>
      <w:r w:rsidR="00C534FE">
        <w:t>t to the accuracy of the above r</w:t>
      </w:r>
      <w:r>
        <w:t>esolu</w:t>
      </w:r>
      <w:r>
        <w:softHyphen/>
        <w:t>tion being act</w:t>
      </w:r>
      <w:r w:rsidR="00265208">
        <w:t>ed</w:t>
      </w:r>
      <w:r>
        <w:t xml:space="preserve"> upon and recorded in the minutes of the Farmington Zoning Board o</w:t>
      </w:r>
      <w:r w:rsidR="0098097E">
        <w:t xml:space="preserve">f Appeals for the </w:t>
      </w:r>
      <w:r w:rsidR="00D72F58">
        <w:rPr>
          <w:szCs w:val="24"/>
        </w:rPr>
        <w:t>June 2</w:t>
      </w:r>
      <w:r w:rsidR="00265208">
        <w:rPr>
          <w:szCs w:val="24"/>
        </w:rPr>
        <w:t>3</w:t>
      </w:r>
      <w:r w:rsidR="00263D91">
        <w:rPr>
          <w:szCs w:val="24"/>
        </w:rPr>
        <w:t>, 202</w:t>
      </w:r>
      <w:r w:rsidR="00265208">
        <w:rPr>
          <w:szCs w:val="24"/>
        </w:rPr>
        <w:t>5</w:t>
      </w:r>
      <w:r w:rsidR="003A7CAF">
        <w:t>,</w:t>
      </w:r>
      <w:r>
        <w:t xml:space="preserve"> meeting.</w:t>
      </w:r>
    </w:p>
    <w:p w14:paraId="26CAB31E" w14:textId="77777777" w:rsidR="00BF572E" w:rsidRDefault="00BF572E" w:rsidP="00D402EB">
      <w:pPr>
        <w:jc w:val="both"/>
      </w:pPr>
    </w:p>
    <w:p w14:paraId="49464284" w14:textId="77777777" w:rsidR="00D402EB" w:rsidRDefault="00D402EB" w:rsidP="00D402EB">
      <w:pPr>
        <w:jc w:val="both"/>
      </w:pPr>
      <w:r>
        <w:t>____________________</w:t>
      </w:r>
      <w:r w:rsidR="006F0C7A">
        <w:t>___</w:t>
      </w:r>
      <w:r>
        <w:t>__</w:t>
      </w:r>
      <w:r w:rsidR="00FF5B4C">
        <w:t>____</w:t>
      </w:r>
      <w:r>
        <w:t>______ L. S.</w:t>
      </w:r>
    </w:p>
    <w:p w14:paraId="277299C5" w14:textId="219D1F43" w:rsidR="005E1DA2" w:rsidRDefault="00265208" w:rsidP="00D402EB">
      <w:pPr>
        <w:jc w:val="both"/>
      </w:pPr>
      <w:r>
        <w:t>Carol Marvel</w:t>
      </w:r>
      <w:r w:rsidR="00BF572E">
        <w:t xml:space="preserve">, </w:t>
      </w:r>
      <w:r w:rsidR="00D402EB">
        <w:t xml:space="preserve">Clerk </w:t>
      </w:r>
      <w:proofErr w:type="spellStart"/>
      <w:r w:rsidR="00263D91">
        <w:rPr>
          <w:i/>
          <w:iCs/>
        </w:rPr>
        <w:t>ProTem</w:t>
      </w:r>
      <w:proofErr w:type="spellEnd"/>
      <w:r w:rsidR="00263D91">
        <w:t xml:space="preserve"> </w:t>
      </w:r>
      <w:r w:rsidR="00D402EB">
        <w:t>of the Board</w:t>
      </w:r>
    </w:p>
    <w:sectPr w:rsidR="005E1DA2" w:rsidSect="001F6607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9D05" w14:textId="77777777" w:rsidR="004F30DC" w:rsidRDefault="004F30DC" w:rsidP="00373977">
      <w:r>
        <w:separator/>
      </w:r>
    </w:p>
  </w:endnote>
  <w:endnote w:type="continuationSeparator" w:id="0">
    <w:p w14:paraId="1755900F" w14:textId="77777777" w:rsidR="004F30DC" w:rsidRDefault="004F30DC" w:rsidP="0037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4F34" w14:textId="77777777" w:rsidR="004F30DC" w:rsidRDefault="004F30DC" w:rsidP="00373977">
      <w:r>
        <w:separator/>
      </w:r>
    </w:p>
  </w:footnote>
  <w:footnote w:type="continuationSeparator" w:id="0">
    <w:p w14:paraId="13D0E267" w14:textId="77777777" w:rsidR="004F30DC" w:rsidRDefault="004F30DC" w:rsidP="0037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212E" w14:textId="77777777" w:rsidR="00E32DE6" w:rsidRDefault="00ED3A11">
    <w:pPr>
      <w:pStyle w:val="Header"/>
    </w:pPr>
    <w:r>
      <w:rPr>
        <w:noProof/>
      </w:rPr>
      <w:pict w14:anchorId="23DC0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106329" o:spid="_x0000_s1027" type="#_x0000_t136" style="position:absolute;margin-left:0;margin-top:0;width:543.8pt;height:217.5pt;rotation:315;z-index:-251658752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55F0" w14:textId="4D3B0755" w:rsidR="006B614B" w:rsidRDefault="006B614B" w:rsidP="006B614B">
    <w:pPr>
      <w:pStyle w:val="Header"/>
      <w:rPr>
        <w:i/>
        <w:sz w:val="16"/>
      </w:rPr>
    </w:pPr>
    <w:r w:rsidRPr="005B593A">
      <w:rPr>
        <w:i/>
        <w:sz w:val="16"/>
      </w:rPr>
      <w:t xml:space="preserve">Page </w:t>
    </w:r>
    <w:r w:rsidRPr="005B593A">
      <w:rPr>
        <w:i/>
        <w:sz w:val="16"/>
      </w:rPr>
      <w:fldChar w:fldCharType="begin"/>
    </w:r>
    <w:r w:rsidRPr="005B593A">
      <w:rPr>
        <w:i/>
        <w:sz w:val="16"/>
      </w:rPr>
      <w:instrText xml:space="preserve"> PAGE </w:instrText>
    </w:r>
    <w:r w:rsidRPr="005B593A">
      <w:rPr>
        <w:i/>
        <w:sz w:val="16"/>
      </w:rPr>
      <w:fldChar w:fldCharType="separate"/>
    </w:r>
    <w:r w:rsidR="00643A78">
      <w:rPr>
        <w:i/>
        <w:noProof/>
        <w:sz w:val="16"/>
      </w:rPr>
      <w:t>1</w:t>
    </w:r>
    <w:r w:rsidRPr="005B593A">
      <w:rPr>
        <w:i/>
        <w:sz w:val="16"/>
      </w:rPr>
      <w:fldChar w:fldCharType="end"/>
    </w:r>
    <w:r w:rsidRPr="005B593A">
      <w:rPr>
        <w:i/>
        <w:sz w:val="16"/>
      </w:rPr>
      <w:t xml:space="preserve"> of </w:t>
    </w:r>
    <w:r w:rsidRPr="005B593A">
      <w:rPr>
        <w:i/>
        <w:sz w:val="16"/>
      </w:rPr>
      <w:fldChar w:fldCharType="begin"/>
    </w:r>
    <w:r w:rsidRPr="005B593A">
      <w:rPr>
        <w:i/>
        <w:sz w:val="16"/>
      </w:rPr>
      <w:instrText xml:space="preserve"> NUMPAGES </w:instrText>
    </w:r>
    <w:r w:rsidRPr="005B593A">
      <w:rPr>
        <w:i/>
        <w:sz w:val="16"/>
      </w:rPr>
      <w:fldChar w:fldCharType="separate"/>
    </w:r>
    <w:r w:rsidR="00643A78">
      <w:rPr>
        <w:i/>
        <w:noProof/>
        <w:sz w:val="16"/>
      </w:rPr>
      <w:t>1</w:t>
    </w:r>
    <w:r w:rsidRPr="005B593A">
      <w:rPr>
        <w:i/>
        <w:sz w:val="16"/>
      </w:rPr>
      <w:fldChar w:fldCharType="end"/>
    </w:r>
    <w:r>
      <w:rPr>
        <w:i/>
        <w:sz w:val="16"/>
      </w:rPr>
      <w:t xml:space="preserve">                   </w:t>
    </w:r>
    <w:r w:rsidR="001615AD">
      <w:rPr>
        <w:i/>
        <w:sz w:val="16"/>
      </w:rPr>
      <w:t xml:space="preserve">              </w:t>
    </w:r>
    <w:r w:rsidR="001F6607">
      <w:rPr>
        <w:i/>
        <w:sz w:val="16"/>
      </w:rPr>
      <w:t xml:space="preserve">          </w:t>
    </w:r>
    <w:r w:rsidR="001615AD">
      <w:rPr>
        <w:i/>
        <w:sz w:val="16"/>
      </w:rPr>
      <w:t xml:space="preserve">     </w:t>
    </w:r>
    <w:r w:rsidR="00966B4F">
      <w:rPr>
        <w:i/>
        <w:sz w:val="16"/>
      </w:rPr>
      <w:t xml:space="preserve"> </w:t>
    </w:r>
    <w:r w:rsidR="001F6607">
      <w:rPr>
        <w:i/>
        <w:sz w:val="16"/>
      </w:rPr>
      <w:t xml:space="preserve">          </w:t>
    </w:r>
    <w:r w:rsidR="00966B4F">
      <w:rPr>
        <w:i/>
        <w:sz w:val="16"/>
      </w:rPr>
      <w:t xml:space="preserve">       </w:t>
    </w:r>
    <w:r>
      <w:rPr>
        <w:i/>
        <w:sz w:val="16"/>
      </w:rPr>
      <w:t>ZB #</w:t>
    </w:r>
    <w:r w:rsidR="00265208">
      <w:rPr>
        <w:i/>
        <w:sz w:val="16"/>
      </w:rPr>
      <w:t>2025-0</w:t>
    </w:r>
    <w:r w:rsidR="006C7DE2">
      <w:rPr>
        <w:i/>
        <w:sz w:val="16"/>
      </w:rPr>
      <w:t>6</w:t>
    </w:r>
    <w:r w:rsidR="00265208">
      <w:rPr>
        <w:i/>
        <w:sz w:val="16"/>
      </w:rPr>
      <w:t>0</w:t>
    </w:r>
    <w:r w:rsidR="006C7DE2">
      <w:rPr>
        <w:i/>
        <w:sz w:val="16"/>
      </w:rPr>
      <w:t>1</w:t>
    </w:r>
    <w:r w:rsidR="00E32DE6">
      <w:rPr>
        <w:i/>
        <w:sz w:val="16"/>
      </w:rPr>
      <w:t>:</w:t>
    </w:r>
    <w:r w:rsidR="00F55E42">
      <w:rPr>
        <w:i/>
        <w:sz w:val="16"/>
      </w:rPr>
      <w:t xml:space="preserve"> </w:t>
    </w:r>
    <w:r w:rsidR="003100A3">
      <w:rPr>
        <w:i/>
        <w:sz w:val="16"/>
      </w:rPr>
      <w:t xml:space="preserve">Frederick </w:t>
    </w:r>
    <w:proofErr w:type="spellStart"/>
    <w:r w:rsidR="003100A3">
      <w:rPr>
        <w:i/>
        <w:sz w:val="16"/>
      </w:rPr>
      <w:t>Laudise</w:t>
    </w:r>
    <w:proofErr w:type="spellEnd"/>
    <w:r w:rsidR="00265208">
      <w:rPr>
        <w:i/>
        <w:sz w:val="16"/>
      </w:rPr>
      <w:t>,</w:t>
    </w:r>
    <w:r w:rsidR="00E32DE6">
      <w:rPr>
        <w:i/>
        <w:sz w:val="16"/>
      </w:rPr>
      <w:t xml:space="preserve"> Area Variance</w:t>
    </w:r>
    <w:r w:rsidR="00CC2378">
      <w:rPr>
        <w:i/>
        <w:sz w:val="16"/>
      </w:rPr>
      <w:t xml:space="preserve">, </w:t>
    </w:r>
    <w:r w:rsidR="003100A3">
      <w:rPr>
        <w:i/>
        <w:sz w:val="16"/>
      </w:rPr>
      <w:t>6184 Fawn Meadow</w:t>
    </w:r>
    <w:r w:rsidR="00155A40">
      <w:rPr>
        <w:i/>
        <w:sz w:val="16"/>
      </w:rPr>
      <w:t xml:space="preserve"> Street</w:t>
    </w:r>
    <w:r>
      <w:rPr>
        <w:i/>
        <w:sz w:val="16"/>
      </w:rPr>
      <w:t xml:space="preserve"> </w:t>
    </w:r>
    <w:r w:rsidR="001615AD">
      <w:rPr>
        <w:i/>
        <w:sz w:val="16"/>
      </w:rPr>
      <w:t xml:space="preserve"> </w:t>
    </w:r>
    <w:r w:rsidR="001F6607">
      <w:rPr>
        <w:i/>
        <w:sz w:val="16"/>
      </w:rPr>
      <w:t xml:space="preserve">                  </w:t>
    </w:r>
    <w:r w:rsidR="00966B4F">
      <w:rPr>
        <w:i/>
        <w:sz w:val="16"/>
      </w:rPr>
      <w:t xml:space="preserve">     </w:t>
    </w:r>
    <w:r w:rsidR="00E32DE6">
      <w:rPr>
        <w:i/>
        <w:sz w:val="16"/>
      </w:rPr>
      <w:t xml:space="preserve">  </w:t>
    </w:r>
    <w:r w:rsidR="00966B4F">
      <w:rPr>
        <w:i/>
        <w:sz w:val="16"/>
      </w:rPr>
      <w:t xml:space="preserve"> </w:t>
    </w:r>
    <w:r w:rsidR="001615AD">
      <w:rPr>
        <w:i/>
        <w:sz w:val="16"/>
      </w:rPr>
      <w:t xml:space="preserve"> </w:t>
    </w:r>
    <w:r w:rsidR="00D72F58">
      <w:rPr>
        <w:i/>
        <w:sz w:val="16"/>
      </w:rPr>
      <w:t>Ju</w:t>
    </w:r>
    <w:r w:rsidR="00155A40">
      <w:rPr>
        <w:i/>
        <w:sz w:val="16"/>
      </w:rPr>
      <w:t>ly</w:t>
    </w:r>
    <w:r w:rsidR="001F6607">
      <w:rPr>
        <w:i/>
        <w:sz w:val="16"/>
      </w:rPr>
      <w:t xml:space="preserve"> 2</w:t>
    </w:r>
    <w:r w:rsidR="0033155F">
      <w:rPr>
        <w:i/>
        <w:sz w:val="16"/>
      </w:rPr>
      <w:t>8</w:t>
    </w:r>
    <w:r w:rsidR="00E32DE6">
      <w:rPr>
        <w:i/>
        <w:sz w:val="16"/>
      </w:rPr>
      <w:t>, 202</w:t>
    </w:r>
    <w:r w:rsidR="00265208">
      <w:rPr>
        <w:i/>
        <w:sz w:val="16"/>
      </w:rPr>
      <w:t>5</w:t>
    </w:r>
  </w:p>
  <w:p w14:paraId="2DF8824C" w14:textId="015A72E4" w:rsidR="00CC2378" w:rsidRPr="005B593A" w:rsidRDefault="00F55E42" w:rsidP="00CC2378">
    <w:pPr>
      <w:pStyle w:val="Header"/>
      <w:jc w:val="center"/>
      <w:rPr>
        <w:i/>
        <w:sz w:val="16"/>
      </w:rPr>
    </w:pPr>
    <w:r>
      <w:rPr>
        <w:i/>
        <w:sz w:val="16"/>
      </w:rPr>
      <w:t>SEQR Classification</w:t>
    </w:r>
  </w:p>
  <w:p w14:paraId="4D07CA87" w14:textId="77777777" w:rsidR="00373977" w:rsidRDefault="00ED3A11">
    <w:pPr>
      <w:pStyle w:val="Header"/>
    </w:pPr>
    <w:r>
      <w:rPr>
        <w:noProof/>
      </w:rPr>
      <w:pict w14:anchorId="4C2A13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106330" o:spid="_x0000_s1026" type="#_x0000_t136" style="position:absolute;margin-left:0;margin-top:0;width:543.8pt;height:217.5pt;rotation:315;z-index:-251657728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815B" w14:textId="77777777" w:rsidR="00E32DE6" w:rsidRDefault="00ED3A11">
    <w:pPr>
      <w:pStyle w:val="Header"/>
    </w:pPr>
    <w:r>
      <w:rPr>
        <w:noProof/>
      </w:rPr>
      <w:pict w14:anchorId="05315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106328" o:spid="_x0000_s1025" type="#_x0000_t136" style="position:absolute;margin-left:0;margin-top:0;width:543.8pt;height:217.5pt;rotation:315;z-index:-251659776;mso-wrap-edited:f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77"/>
    <w:rsid w:val="00013041"/>
    <w:rsid w:val="00036AD9"/>
    <w:rsid w:val="00042F18"/>
    <w:rsid w:val="00054D65"/>
    <w:rsid w:val="00054F9C"/>
    <w:rsid w:val="0006120B"/>
    <w:rsid w:val="000719FF"/>
    <w:rsid w:val="00076E31"/>
    <w:rsid w:val="00081EAF"/>
    <w:rsid w:val="00084884"/>
    <w:rsid w:val="00087663"/>
    <w:rsid w:val="000923C7"/>
    <w:rsid w:val="000D5314"/>
    <w:rsid w:val="000D7352"/>
    <w:rsid w:val="000E1393"/>
    <w:rsid w:val="000E7CEB"/>
    <w:rsid w:val="000F6A01"/>
    <w:rsid w:val="00103E23"/>
    <w:rsid w:val="00114E31"/>
    <w:rsid w:val="00121E55"/>
    <w:rsid w:val="0012286A"/>
    <w:rsid w:val="00122CAC"/>
    <w:rsid w:val="0013012A"/>
    <w:rsid w:val="001412B1"/>
    <w:rsid w:val="00144FBC"/>
    <w:rsid w:val="00147F8D"/>
    <w:rsid w:val="00153B09"/>
    <w:rsid w:val="00155A40"/>
    <w:rsid w:val="00156180"/>
    <w:rsid w:val="00156CD6"/>
    <w:rsid w:val="001615AD"/>
    <w:rsid w:val="00181ACF"/>
    <w:rsid w:val="00187A94"/>
    <w:rsid w:val="001A7112"/>
    <w:rsid w:val="001C1CED"/>
    <w:rsid w:val="001C41F0"/>
    <w:rsid w:val="001C6AD9"/>
    <w:rsid w:val="001D06A3"/>
    <w:rsid w:val="001E5971"/>
    <w:rsid w:val="001F2AC4"/>
    <w:rsid w:val="001F6607"/>
    <w:rsid w:val="00205087"/>
    <w:rsid w:val="0020570A"/>
    <w:rsid w:val="00211A07"/>
    <w:rsid w:val="00212ADB"/>
    <w:rsid w:val="002163B9"/>
    <w:rsid w:val="00221DBE"/>
    <w:rsid w:val="00232507"/>
    <w:rsid w:val="00237A0B"/>
    <w:rsid w:val="0024496C"/>
    <w:rsid w:val="00251A1A"/>
    <w:rsid w:val="0025559C"/>
    <w:rsid w:val="002569F4"/>
    <w:rsid w:val="00263D91"/>
    <w:rsid w:val="00264C57"/>
    <w:rsid w:val="00265208"/>
    <w:rsid w:val="00290DB1"/>
    <w:rsid w:val="002A442C"/>
    <w:rsid w:val="002B30D7"/>
    <w:rsid w:val="002B7C8E"/>
    <w:rsid w:val="002C2540"/>
    <w:rsid w:val="002C2CBF"/>
    <w:rsid w:val="002D38FA"/>
    <w:rsid w:val="002D4F3C"/>
    <w:rsid w:val="002D68DF"/>
    <w:rsid w:val="002E7D97"/>
    <w:rsid w:val="002E7E0C"/>
    <w:rsid w:val="002F36D4"/>
    <w:rsid w:val="002F50BB"/>
    <w:rsid w:val="00303A59"/>
    <w:rsid w:val="003100A3"/>
    <w:rsid w:val="00310A1E"/>
    <w:rsid w:val="00312672"/>
    <w:rsid w:val="0032082E"/>
    <w:rsid w:val="00323A2B"/>
    <w:rsid w:val="00323F98"/>
    <w:rsid w:val="0033155F"/>
    <w:rsid w:val="00333144"/>
    <w:rsid w:val="00342CC1"/>
    <w:rsid w:val="00354CA4"/>
    <w:rsid w:val="003655AA"/>
    <w:rsid w:val="00372B26"/>
    <w:rsid w:val="00373977"/>
    <w:rsid w:val="00385B42"/>
    <w:rsid w:val="00387D1C"/>
    <w:rsid w:val="00394086"/>
    <w:rsid w:val="003A1F4A"/>
    <w:rsid w:val="003A4586"/>
    <w:rsid w:val="003A7CAF"/>
    <w:rsid w:val="003C58CE"/>
    <w:rsid w:val="003D0D28"/>
    <w:rsid w:val="003D1645"/>
    <w:rsid w:val="003F572F"/>
    <w:rsid w:val="003F7381"/>
    <w:rsid w:val="00407052"/>
    <w:rsid w:val="0041225A"/>
    <w:rsid w:val="00412B41"/>
    <w:rsid w:val="004213CE"/>
    <w:rsid w:val="00451F08"/>
    <w:rsid w:val="00454DCA"/>
    <w:rsid w:val="0046014C"/>
    <w:rsid w:val="00473107"/>
    <w:rsid w:val="004774CA"/>
    <w:rsid w:val="00486970"/>
    <w:rsid w:val="00490420"/>
    <w:rsid w:val="004B1172"/>
    <w:rsid w:val="004B43A0"/>
    <w:rsid w:val="004C3955"/>
    <w:rsid w:val="004D3AEE"/>
    <w:rsid w:val="004E2A57"/>
    <w:rsid w:val="004E3D8F"/>
    <w:rsid w:val="004F30DC"/>
    <w:rsid w:val="004F44F9"/>
    <w:rsid w:val="00502EBE"/>
    <w:rsid w:val="00514C8A"/>
    <w:rsid w:val="00521F15"/>
    <w:rsid w:val="00522F70"/>
    <w:rsid w:val="0053201A"/>
    <w:rsid w:val="00544639"/>
    <w:rsid w:val="00550A15"/>
    <w:rsid w:val="00561743"/>
    <w:rsid w:val="00565B6F"/>
    <w:rsid w:val="0056799F"/>
    <w:rsid w:val="0057202A"/>
    <w:rsid w:val="005824FC"/>
    <w:rsid w:val="00585E9A"/>
    <w:rsid w:val="0058703D"/>
    <w:rsid w:val="00587497"/>
    <w:rsid w:val="005977E8"/>
    <w:rsid w:val="005D196E"/>
    <w:rsid w:val="005D1A52"/>
    <w:rsid w:val="005E1DA2"/>
    <w:rsid w:val="005F247A"/>
    <w:rsid w:val="005F71E4"/>
    <w:rsid w:val="005F77DB"/>
    <w:rsid w:val="00604A17"/>
    <w:rsid w:val="00607196"/>
    <w:rsid w:val="00607A84"/>
    <w:rsid w:val="00612A0F"/>
    <w:rsid w:val="0061575A"/>
    <w:rsid w:val="00617BFA"/>
    <w:rsid w:val="00623D7F"/>
    <w:rsid w:val="00636481"/>
    <w:rsid w:val="00643A78"/>
    <w:rsid w:val="00650661"/>
    <w:rsid w:val="006522EA"/>
    <w:rsid w:val="00660BEC"/>
    <w:rsid w:val="006620D4"/>
    <w:rsid w:val="006712A7"/>
    <w:rsid w:val="00682EE2"/>
    <w:rsid w:val="0069305E"/>
    <w:rsid w:val="0069354C"/>
    <w:rsid w:val="006951B9"/>
    <w:rsid w:val="00695A77"/>
    <w:rsid w:val="006A1D37"/>
    <w:rsid w:val="006A55E9"/>
    <w:rsid w:val="006B309C"/>
    <w:rsid w:val="006B614B"/>
    <w:rsid w:val="006C7DE2"/>
    <w:rsid w:val="006D26D1"/>
    <w:rsid w:val="006E7520"/>
    <w:rsid w:val="006F0C7A"/>
    <w:rsid w:val="007042C5"/>
    <w:rsid w:val="007165B7"/>
    <w:rsid w:val="00723701"/>
    <w:rsid w:val="007333F2"/>
    <w:rsid w:val="00735504"/>
    <w:rsid w:val="00740325"/>
    <w:rsid w:val="007428CE"/>
    <w:rsid w:val="00744EEF"/>
    <w:rsid w:val="0075270F"/>
    <w:rsid w:val="007559EF"/>
    <w:rsid w:val="00765F23"/>
    <w:rsid w:val="007664E0"/>
    <w:rsid w:val="00781A99"/>
    <w:rsid w:val="0078336A"/>
    <w:rsid w:val="00786595"/>
    <w:rsid w:val="007948E4"/>
    <w:rsid w:val="00796546"/>
    <w:rsid w:val="007A1D57"/>
    <w:rsid w:val="007A6057"/>
    <w:rsid w:val="007A6463"/>
    <w:rsid w:val="007B1326"/>
    <w:rsid w:val="007B5E78"/>
    <w:rsid w:val="007C1EBE"/>
    <w:rsid w:val="007C260D"/>
    <w:rsid w:val="007C7042"/>
    <w:rsid w:val="007C7A49"/>
    <w:rsid w:val="007D282F"/>
    <w:rsid w:val="007E31BD"/>
    <w:rsid w:val="007F661B"/>
    <w:rsid w:val="008109B8"/>
    <w:rsid w:val="008110A4"/>
    <w:rsid w:val="00811D2B"/>
    <w:rsid w:val="00812191"/>
    <w:rsid w:val="00830104"/>
    <w:rsid w:val="00841A9B"/>
    <w:rsid w:val="008442BE"/>
    <w:rsid w:val="008479D3"/>
    <w:rsid w:val="0085263F"/>
    <w:rsid w:val="00852A4A"/>
    <w:rsid w:val="0085422A"/>
    <w:rsid w:val="0086253D"/>
    <w:rsid w:val="00865FB4"/>
    <w:rsid w:val="0087193C"/>
    <w:rsid w:val="00880590"/>
    <w:rsid w:val="008A01B9"/>
    <w:rsid w:val="008B2EBF"/>
    <w:rsid w:val="008C52F6"/>
    <w:rsid w:val="008C7997"/>
    <w:rsid w:val="008D1216"/>
    <w:rsid w:val="008D44DE"/>
    <w:rsid w:val="008E0589"/>
    <w:rsid w:val="008E65BB"/>
    <w:rsid w:val="008F48AF"/>
    <w:rsid w:val="0090636C"/>
    <w:rsid w:val="00912616"/>
    <w:rsid w:val="009331AB"/>
    <w:rsid w:val="009534B6"/>
    <w:rsid w:val="00962C0C"/>
    <w:rsid w:val="00963177"/>
    <w:rsid w:val="00966065"/>
    <w:rsid w:val="00966B4F"/>
    <w:rsid w:val="00970778"/>
    <w:rsid w:val="00972E12"/>
    <w:rsid w:val="0098097E"/>
    <w:rsid w:val="00986B93"/>
    <w:rsid w:val="00996FB4"/>
    <w:rsid w:val="009A4778"/>
    <w:rsid w:val="009A503B"/>
    <w:rsid w:val="009B20AA"/>
    <w:rsid w:val="009B6E03"/>
    <w:rsid w:val="009C6F17"/>
    <w:rsid w:val="009D6725"/>
    <w:rsid w:val="009E7529"/>
    <w:rsid w:val="009F3972"/>
    <w:rsid w:val="00A0047A"/>
    <w:rsid w:val="00A0230F"/>
    <w:rsid w:val="00A35600"/>
    <w:rsid w:val="00A365E5"/>
    <w:rsid w:val="00A44607"/>
    <w:rsid w:val="00A46DFB"/>
    <w:rsid w:val="00A512FB"/>
    <w:rsid w:val="00A523F3"/>
    <w:rsid w:val="00A56C58"/>
    <w:rsid w:val="00A62250"/>
    <w:rsid w:val="00A626E5"/>
    <w:rsid w:val="00A67947"/>
    <w:rsid w:val="00A85462"/>
    <w:rsid w:val="00A91005"/>
    <w:rsid w:val="00AA197A"/>
    <w:rsid w:val="00AA5C8C"/>
    <w:rsid w:val="00AB1B33"/>
    <w:rsid w:val="00AB6CF4"/>
    <w:rsid w:val="00AB7954"/>
    <w:rsid w:val="00AC1667"/>
    <w:rsid w:val="00AC3110"/>
    <w:rsid w:val="00AC6FB7"/>
    <w:rsid w:val="00AE3ABC"/>
    <w:rsid w:val="00AE682E"/>
    <w:rsid w:val="00B11AAA"/>
    <w:rsid w:val="00B15E2C"/>
    <w:rsid w:val="00B21E03"/>
    <w:rsid w:val="00B22CE1"/>
    <w:rsid w:val="00B3048B"/>
    <w:rsid w:val="00B340FA"/>
    <w:rsid w:val="00B35E02"/>
    <w:rsid w:val="00B41877"/>
    <w:rsid w:val="00B42AE2"/>
    <w:rsid w:val="00B50146"/>
    <w:rsid w:val="00B543CD"/>
    <w:rsid w:val="00B66855"/>
    <w:rsid w:val="00B72636"/>
    <w:rsid w:val="00B7419E"/>
    <w:rsid w:val="00BA2758"/>
    <w:rsid w:val="00BC510D"/>
    <w:rsid w:val="00BF572E"/>
    <w:rsid w:val="00BF6B2C"/>
    <w:rsid w:val="00BF7039"/>
    <w:rsid w:val="00C064D0"/>
    <w:rsid w:val="00C06B3D"/>
    <w:rsid w:val="00C12B1A"/>
    <w:rsid w:val="00C34D91"/>
    <w:rsid w:val="00C34DAB"/>
    <w:rsid w:val="00C3704D"/>
    <w:rsid w:val="00C3723D"/>
    <w:rsid w:val="00C421FC"/>
    <w:rsid w:val="00C45FD0"/>
    <w:rsid w:val="00C46CF9"/>
    <w:rsid w:val="00C52E79"/>
    <w:rsid w:val="00C531C2"/>
    <w:rsid w:val="00C534FE"/>
    <w:rsid w:val="00C71D1C"/>
    <w:rsid w:val="00C777A7"/>
    <w:rsid w:val="00C85AC1"/>
    <w:rsid w:val="00C86E31"/>
    <w:rsid w:val="00CA0324"/>
    <w:rsid w:val="00CA3826"/>
    <w:rsid w:val="00CA79F5"/>
    <w:rsid w:val="00CB68A5"/>
    <w:rsid w:val="00CC2378"/>
    <w:rsid w:val="00CE59AF"/>
    <w:rsid w:val="00D01033"/>
    <w:rsid w:val="00D13C25"/>
    <w:rsid w:val="00D24895"/>
    <w:rsid w:val="00D30266"/>
    <w:rsid w:val="00D31655"/>
    <w:rsid w:val="00D402EB"/>
    <w:rsid w:val="00D40ED9"/>
    <w:rsid w:val="00D418C3"/>
    <w:rsid w:val="00D72F58"/>
    <w:rsid w:val="00D86897"/>
    <w:rsid w:val="00D90778"/>
    <w:rsid w:val="00D956D4"/>
    <w:rsid w:val="00D966CE"/>
    <w:rsid w:val="00DA522E"/>
    <w:rsid w:val="00DC206D"/>
    <w:rsid w:val="00DC730C"/>
    <w:rsid w:val="00DD4E31"/>
    <w:rsid w:val="00DF6D71"/>
    <w:rsid w:val="00E0248F"/>
    <w:rsid w:val="00E11079"/>
    <w:rsid w:val="00E12C04"/>
    <w:rsid w:val="00E13AB9"/>
    <w:rsid w:val="00E32DE6"/>
    <w:rsid w:val="00E40DAA"/>
    <w:rsid w:val="00E45BFC"/>
    <w:rsid w:val="00E52149"/>
    <w:rsid w:val="00E60FA3"/>
    <w:rsid w:val="00E6117D"/>
    <w:rsid w:val="00E71EE8"/>
    <w:rsid w:val="00EA68AE"/>
    <w:rsid w:val="00EB05E3"/>
    <w:rsid w:val="00EB593D"/>
    <w:rsid w:val="00EC3251"/>
    <w:rsid w:val="00ED6532"/>
    <w:rsid w:val="00EE319B"/>
    <w:rsid w:val="00EF2184"/>
    <w:rsid w:val="00EF2713"/>
    <w:rsid w:val="00EF3D75"/>
    <w:rsid w:val="00EF4BB2"/>
    <w:rsid w:val="00EF4F01"/>
    <w:rsid w:val="00F00872"/>
    <w:rsid w:val="00F01571"/>
    <w:rsid w:val="00F1443D"/>
    <w:rsid w:val="00F21CC0"/>
    <w:rsid w:val="00F32848"/>
    <w:rsid w:val="00F42F30"/>
    <w:rsid w:val="00F46367"/>
    <w:rsid w:val="00F53272"/>
    <w:rsid w:val="00F55E42"/>
    <w:rsid w:val="00F65194"/>
    <w:rsid w:val="00F6640D"/>
    <w:rsid w:val="00F72B83"/>
    <w:rsid w:val="00F761B0"/>
    <w:rsid w:val="00F771C7"/>
    <w:rsid w:val="00F86B96"/>
    <w:rsid w:val="00F90375"/>
    <w:rsid w:val="00F93CBA"/>
    <w:rsid w:val="00F95BC8"/>
    <w:rsid w:val="00FA58F9"/>
    <w:rsid w:val="00FD3F55"/>
    <w:rsid w:val="00FE6E89"/>
    <w:rsid w:val="00FF192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0C84D"/>
  <w15:chartTrackingRefBased/>
  <w15:docId w15:val="{8DDBF89E-522D-47CF-B36D-E0DA2B5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9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397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739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397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2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7CA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Farmington Planning board Resolution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Farmington Planning board Resolution</dc:title>
  <dc:subject/>
  <dc:creator>Leslie O'Malley</dc:creator>
  <cp:keywords/>
  <cp:lastModifiedBy>Ron Brand</cp:lastModifiedBy>
  <cp:revision>2</cp:revision>
  <cp:lastPrinted>2023-06-19T16:08:00Z</cp:lastPrinted>
  <dcterms:created xsi:type="dcterms:W3CDTF">2025-07-25T19:54:00Z</dcterms:created>
  <dcterms:modified xsi:type="dcterms:W3CDTF">2025-07-25T19:54:00Z</dcterms:modified>
</cp:coreProperties>
</file>